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w:t>
      </w:r>
      <w:r w:rsidR="00A61645">
        <w:rPr>
          <w:rFonts w:ascii="Arial" w:hAnsi="Arial" w:cs="Arial"/>
          <w:b/>
        </w:rPr>
        <w:t>11</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BC7C7B">
        <w:rPr>
          <w:rFonts w:ascii="Arial" w:hAnsi="Arial" w:cs="Arial"/>
        </w:rPr>
        <w:t>Welding</w:t>
      </w:r>
      <w:r w:rsidR="008E6565">
        <w:rPr>
          <w:rFonts w:ascii="Arial" w:hAnsi="Arial" w:cs="Arial"/>
        </w:rPr>
        <w:t xml:space="preserve"> </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BC7C7B" w:rsidRDefault="0062431C">
      <w:pPr>
        <w:rPr>
          <w:rFonts w:ascii="Arial" w:hAnsi="Arial" w:cs="Arial"/>
          <w:b/>
        </w:rPr>
      </w:pPr>
      <w:r>
        <w:rPr>
          <w:rFonts w:ascii="Arial" w:hAnsi="Arial" w:cs="Arial"/>
          <w:b/>
        </w:rPr>
        <w:t>Efficacy Team</w:t>
      </w:r>
      <w:r w:rsidR="00E86E7D">
        <w:rPr>
          <w:rFonts w:ascii="Arial" w:hAnsi="Arial" w:cs="Arial"/>
          <w:b/>
        </w:rPr>
        <w:t>:</w:t>
      </w:r>
      <w:r w:rsidR="00BC7C7B">
        <w:rPr>
          <w:rFonts w:ascii="Arial" w:hAnsi="Arial" w:cs="Arial"/>
          <w:b/>
        </w:rPr>
        <w:t xml:space="preserve"> Jim Hansen, Dena Murillo-Peters, Deanne Rabon</w:t>
      </w:r>
    </w:p>
    <w:p w:rsidR="00BC7C7B" w:rsidRDefault="00BC7C7B">
      <w:pPr>
        <w:rPr>
          <w:rFonts w:ascii="Arial" w:hAnsi="Arial" w:cs="Arial"/>
          <w:b/>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r w:rsidR="00356AE4">
        <w:rPr>
          <w:rFonts w:ascii="Arial" w:hAnsi="Arial" w:cs="Arial"/>
          <w:b/>
        </w:rPr>
        <w:t>Continuation</w:t>
      </w:r>
    </w:p>
    <w:p w:rsidR="00356AE4" w:rsidRDefault="00356AE4">
      <w:pPr>
        <w:rPr>
          <w:rFonts w:ascii="Arial" w:hAnsi="Arial" w:cs="Arial"/>
          <w:b/>
        </w:rPr>
      </w:pPr>
    </w:p>
    <w:p w:rsidR="00356AE4" w:rsidRDefault="00356AE4">
      <w:pPr>
        <w:rPr>
          <w:rFonts w:ascii="Arial" w:hAnsi="Arial" w:cs="Arial"/>
          <w:b/>
        </w:rPr>
      </w:pPr>
      <w:r>
        <w:rPr>
          <w:rFonts w:ascii="Arial" w:hAnsi="Arial" w:cs="Arial"/>
          <w:b/>
        </w:rPr>
        <w:t>Next Program Efficacy: 2013/2014</w:t>
      </w:r>
    </w:p>
    <w:p w:rsidR="00E0610D" w:rsidRDefault="00E0610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0"/>
      </w:tblGrid>
      <w:tr w:rsidR="00E0610D" w:rsidTr="00B0398B">
        <w:tc>
          <w:tcPr>
            <w:tcW w:w="10440" w:type="dxa"/>
          </w:tcPr>
          <w:p w:rsidR="00FA56A8" w:rsidRDefault="001F01F2" w:rsidP="00FA56A8">
            <w:pPr>
              <w:rPr>
                <w:rFonts w:ascii="Arial" w:hAnsi="Arial" w:cs="Arial"/>
              </w:rPr>
            </w:pPr>
            <w:r>
              <w:rPr>
                <w:rFonts w:ascii="Arial" w:hAnsi="Arial" w:cs="Arial"/>
                <w:b/>
              </w:rPr>
              <w:t>Continuation:</w:t>
            </w:r>
            <w:r w:rsidR="001C1B2B">
              <w:rPr>
                <w:rFonts w:ascii="Arial" w:hAnsi="Arial" w:cs="Arial"/>
                <w:b/>
              </w:rPr>
              <w:t xml:space="preserve">  </w:t>
            </w:r>
            <w:r w:rsidR="00964854">
              <w:rPr>
                <w:rFonts w:ascii="Arial" w:hAnsi="Arial" w:cs="Arial"/>
              </w:rPr>
              <w:t>The program seems to have good numbers in the areas of retention and student success, although we would like to have seen more information</w:t>
            </w:r>
            <w:r w:rsidR="00FA56A8">
              <w:rPr>
                <w:rFonts w:ascii="Arial" w:hAnsi="Arial" w:cs="Arial"/>
              </w:rPr>
              <w:t xml:space="preserve"> about the tools that are in place that have contributed to the student success</w:t>
            </w:r>
            <w:r w:rsidR="00964854">
              <w:rPr>
                <w:rFonts w:ascii="Arial" w:hAnsi="Arial" w:cs="Arial"/>
              </w:rPr>
              <w:t xml:space="preserve">. </w:t>
            </w:r>
          </w:p>
          <w:p w:rsidR="00FA56A8" w:rsidRDefault="00FA56A8" w:rsidP="00FA56A8">
            <w:pPr>
              <w:rPr>
                <w:rFonts w:ascii="Arial" w:hAnsi="Arial" w:cs="Arial"/>
              </w:rPr>
            </w:pPr>
          </w:p>
          <w:p w:rsidR="00FA56A8" w:rsidRDefault="00964854" w:rsidP="00FA56A8">
            <w:pPr>
              <w:rPr>
                <w:rFonts w:ascii="Arial" w:hAnsi="Arial" w:cs="Arial"/>
              </w:rPr>
            </w:pPr>
            <w:r>
              <w:rPr>
                <w:rFonts w:ascii="Arial" w:hAnsi="Arial" w:cs="Arial"/>
              </w:rPr>
              <w:t xml:space="preserve">This report is based solely on the information that was provided in the report. </w:t>
            </w:r>
          </w:p>
          <w:p w:rsidR="00FA56A8" w:rsidRDefault="00FA56A8" w:rsidP="00FA56A8">
            <w:pPr>
              <w:rPr>
                <w:rFonts w:ascii="Arial" w:hAnsi="Arial" w:cs="Arial"/>
              </w:rPr>
            </w:pPr>
          </w:p>
          <w:p w:rsidR="00E0610D" w:rsidRPr="00B0398B" w:rsidRDefault="001C1B2B" w:rsidP="00FA56A8">
            <w:pPr>
              <w:rPr>
                <w:rFonts w:ascii="Arial" w:hAnsi="Arial" w:cs="Arial"/>
                <w:b/>
              </w:rPr>
            </w:pPr>
            <w:r>
              <w:rPr>
                <w:rFonts w:ascii="Arial" w:hAnsi="Arial" w:cs="Arial"/>
              </w:rPr>
              <w:t>There is a concern that most of the language in the current report came from the report that was submit</w:t>
            </w:r>
            <w:r w:rsidR="00964854">
              <w:rPr>
                <w:rFonts w:ascii="Arial" w:hAnsi="Arial" w:cs="Arial"/>
              </w:rPr>
              <w:t>ted in 2007, w</w:t>
            </w:r>
            <w:r w:rsidR="00617CD6">
              <w:rPr>
                <w:rFonts w:ascii="Arial" w:hAnsi="Arial" w:cs="Arial"/>
              </w:rPr>
              <w:t>ith exception to updat</w:t>
            </w:r>
            <w:r w:rsidR="00964854">
              <w:rPr>
                <w:rFonts w:ascii="Arial" w:hAnsi="Arial" w:cs="Arial"/>
              </w:rPr>
              <w:t>ed language on weaknesses and</w:t>
            </w:r>
            <w:r w:rsidR="00617CD6">
              <w:rPr>
                <w:rFonts w:ascii="Arial" w:hAnsi="Arial" w:cs="Arial"/>
              </w:rPr>
              <w:t xml:space="preserve"> partnerships, everything else is the same. </w:t>
            </w:r>
            <w:r>
              <w:rPr>
                <w:rFonts w:ascii="Arial" w:hAnsi="Arial" w:cs="Arial"/>
              </w:rPr>
              <w:t xml:space="preserve">The </w:t>
            </w:r>
            <w:r w:rsidR="00964854">
              <w:rPr>
                <w:rFonts w:ascii="Arial" w:hAnsi="Arial" w:cs="Arial"/>
              </w:rPr>
              <w:t xml:space="preserve">next </w:t>
            </w:r>
            <w:r>
              <w:rPr>
                <w:rFonts w:ascii="Arial" w:hAnsi="Arial" w:cs="Arial"/>
              </w:rPr>
              <w:t xml:space="preserve">review team </w:t>
            </w:r>
            <w:r w:rsidR="00964854">
              <w:rPr>
                <w:rFonts w:ascii="Arial" w:hAnsi="Arial" w:cs="Arial"/>
              </w:rPr>
              <w:t xml:space="preserve">should make a concerted effort to meet with this department to assist in the development of a </w:t>
            </w:r>
            <w:r>
              <w:rPr>
                <w:rFonts w:ascii="Arial" w:hAnsi="Arial" w:cs="Arial"/>
              </w:rPr>
              <w:t>current and updated report</w:t>
            </w:r>
            <w:r w:rsidR="00475686">
              <w:rPr>
                <w:rFonts w:ascii="Arial" w:hAnsi="Arial" w:cs="Arial"/>
              </w:rPr>
              <w:t xml:space="preserve">.  </w:t>
            </w:r>
          </w:p>
        </w:tc>
      </w:tr>
    </w:tbl>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sz w:val="20"/>
                <w:szCs w:val="20"/>
              </w:rPr>
            </w:pPr>
          </w:p>
          <w:p w:rsidR="0062431C" w:rsidRPr="004E6EFC" w:rsidRDefault="004E6EFC" w:rsidP="00E90F24">
            <w:pPr>
              <w:rPr>
                <w:rFonts w:ascii="Arial" w:hAnsi="Arial" w:cs="Arial"/>
                <w:sz w:val="20"/>
                <w:szCs w:val="20"/>
              </w:rPr>
            </w:pPr>
            <w:r w:rsidRPr="004E6EFC">
              <w:rPr>
                <w:rFonts w:ascii="Arial" w:hAnsi="Arial" w:cs="Arial"/>
                <w:b/>
                <w:sz w:val="20"/>
                <w:szCs w:val="20"/>
              </w:rPr>
              <w:t>Meets:</w:t>
            </w:r>
            <w:r>
              <w:rPr>
                <w:rFonts w:ascii="Arial" w:hAnsi="Arial" w:cs="Arial"/>
                <w:sz w:val="20"/>
                <w:szCs w:val="20"/>
              </w:rPr>
              <w:t xml:space="preserve">  </w:t>
            </w:r>
            <w:r w:rsidR="008029A3">
              <w:rPr>
                <w:rFonts w:ascii="Arial" w:hAnsi="Arial" w:cs="Arial"/>
                <w:sz w:val="20"/>
                <w:szCs w:val="20"/>
              </w:rPr>
              <w:t>T</w:t>
            </w:r>
            <w:r>
              <w:rPr>
                <w:rFonts w:ascii="Arial" w:hAnsi="Arial" w:cs="Arial"/>
                <w:sz w:val="20"/>
                <w:szCs w:val="20"/>
              </w:rPr>
              <w:t xml:space="preserve">he welding program is aware of the need to increase diversity among its students and is taking appropriate action to increase its female population. </w:t>
            </w: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4E6EFC" w:rsidRDefault="004E6EFC"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w:t>
            </w:r>
            <w:r w:rsidR="008029A3">
              <w:rPr>
                <w:rFonts w:ascii="Arial" w:hAnsi="Arial" w:cs="Arial"/>
                <w:sz w:val="20"/>
                <w:szCs w:val="20"/>
              </w:rPr>
              <w:t>T</w:t>
            </w:r>
            <w:r>
              <w:rPr>
                <w:rFonts w:ascii="Arial" w:hAnsi="Arial" w:cs="Arial"/>
                <w:sz w:val="20"/>
                <w:szCs w:val="20"/>
              </w:rPr>
              <w:t>he Welding program appears to offer a broad schedule of classes to the community and has structured its schedule of classes to accommodate working students.  Job place efforts by the faculty are commendable.</w:t>
            </w:r>
          </w:p>
          <w:p w:rsidR="00D77686" w:rsidRDefault="00D77686"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02196D" w:rsidRPr="00510CE8" w:rsidRDefault="00964854" w:rsidP="0002196D">
            <w:pPr>
              <w:rPr>
                <w:rFonts w:ascii="Arial" w:hAnsi="Arial" w:cs="Arial"/>
                <w:sz w:val="20"/>
                <w:szCs w:val="20"/>
              </w:rPr>
            </w:pPr>
            <w:r>
              <w:rPr>
                <w:rFonts w:ascii="Arial" w:hAnsi="Arial" w:cs="Arial"/>
                <w:b/>
                <w:sz w:val="20"/>
                <w:szCs w:val="20"/>
              </w:rPr>
              <w:t>Meets</w:t>
            </w:r>
            <w:r w:rsidR="004E6EFC">
              <w:rPr>
                <w:rFonts w:ascii="Arial" w:hAnsi="Arial" w:cs="Arial"/>
                <w:b/>
                <w:sz w:val="20"/>
                <w:szCs w:val="20"/>
              </w:rPr>
              <w:t>:</w:t>
            </w:r>
            <w:r w:rsidR="00510CE8">
              <w:rPr>
                <w:rFonts w:ascii="Arial" w:hAnsi="Arial" w:cs="Arial"/>
                <w:sz w:val="20"/>
                <w:szCs w:val="20"/>
              </w:rPr>
              <w:t xml:space="preserve">  T</w:t>
            </w:r>
            <w:r w:rsidR="004E6EFC" w:rsidRPr="004E6EFC">
              <w:rPr>
                <w:rFonts w:ascii="Arial" w:hAnsi="Arial" w:cs="Arial"/>
                <w:sz w:val="20"/>
                <w:szCs w:val="20"/>
              </w:rPr>
              <w:t>he</w:t>
            </w:r>
            <w:r w:rsidR="00510CE8">
              <w:rPr>
                <w:rFonts w:ascii="Arial" w:hAnsi="Arial" w:cs="Arial"/>
                <w:sz w:val="20"/>
                <w:szCs w:val="20"/>
              </w:rPr>
              <w:t xml:space="preserve"> Welding</w:t>
            </w:r>
            <w:r w:rsidR="004E6EFC" w:rsidRPr="004E6EFC">
              <w:rPr>
                <w:rFonts w:ascii="Arial" w:hAnsi="Arial" w:cs="Arial"/>
                <w:sz w:val="20"/>
                <w:szCs w:val="20"/>
              </w:rPr>
              <w:t xml:space="preserve"> department is commended for its job placement efforts and the program placement rate of 80% is also commendable.  We would have liked to have seen more information on the number of students referred through the legal system and the specific job placement and/or success of that student population.</w:t>
            </w:r>
            <w:r w:rsidR="0002196D">
              <w:rPr>
                <w:rFonts w:ascii="Arial" w:hAnsi="Arial" w:cs="Arial"/>
                <w:sz w:val="20"/>
                <w:szCs w:val="20"/>
              </w:rPr>
              <w:t xml:space="preserve"> References to the number of degrees and certificates may be misrepresentative of the program’s effectiveness because there is no data concerning the number of licenses required.  The pass rate of 98% for certifications is commendable but additional information on what those certifications may be helpful.</w:t>
            </w: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510CE8" w:rsidP="00E90F24">
            <w:pPr>
              <w:rPr>
                <w:rFonts w:ascii="Arial" w:hAnsi="Arial" w:cs="Arial"/>
                <w:b/>
                <w:sz w:val="20"/>
                <w:szCs w:val="20"/>
              </w:rPr>
            </w:pPr>
            <w:r>
              <w:rPr>
                <w:rFonts w:ascii="Arial" w:hAnsi="Arial" w:cs="Arial"/>
                <w:b/>
                <w:sz w:val="20"/>
                <w:szCs w:val="20"/>
              </w:rPr>
              <w:t>Meets:</w:t>
            </w:r>
            <w:r>
              <w:rPr>
                <w:rFonts w:ascii="Arial" w:hAnsi="Arial" w:cs="Arial"/>
                <w:sz w:val="20"/>
                <w:szCs w:val="20"/>
              </w:rPr>
              <w:t xml:space="preserve">  The records show that the Welding department is current on its student learning outcomes and the next review period is on 2012. The program is also considering expanding the area of welding inspection to keep current with industry standards.</w:t>
            </w:r>
            <w:r w:rsidR="0002196D">
              <w:rPr>
                <w:rFonts w:ascii="Arial" w:hAnsi="Arial" w:cs="Arial"/>
                <w:sz w:val="20"/>
                <w:szCs w:val="20"/>
              </w:rPr>
              <w:t xml:space="preserve"> The department appears to be in contact with the needs of local industry and attempting to train students to provide for those needs.</w:t>
            </w:r>
          </w:p>
          <w:p w:rsidR="0002196D" w:rsidRDefault="0002196D"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9E60CB" w:rsidRDefault="0002196D"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 Welding program has a mission and it links clearly with the college mission statement</w:t>
            </w:r>
            <w:r w:rsidR="009E60CB">
              <w:rPr>
                <w:rFonts w:ascii="Arial" w:hAnsi="Arial" w:cs="Arial"/>
                <w:sz w:val="20"/>
                <w:szCs w:val="20"/>
              </w:rPr>
              <w:t>.</w:t>
            </w: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02196D" w:rsidRDefault="0002196D" w:rsidP="00E90F24">
            <w:pPr>
              <w:rPr>
                <w:rFonts w:ascii="Arial" w:hAnsi="Arial" w:cs="Arial"/>
                <w:b/>
                <w:sz w:val="20"/>
                <w:szCs w:val="20"/>
              </w:rPr>
            </w:pPr>
          </w:p>
          <w:p w:rsidR="00527349" w:rsidRPr="009E60CB" w:rsidRDefault="009E60CB"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 data shows the Welding department is productive at an acceptable level.</w:t>
            </w:r>
          </w:p>
          <w:p w:rsidR="00527349" w:rsidRDefault="00527349" w:rsidP="00E90F24">
            <w:pPr>
              <w:rPr>
                <w:rFonts w:ascii="Arial" w:hAnsi="Arial" w:cs="Arial"/>
                <w:b/>
                <w:sz w:val="20"/>
                <w:szCs w:val="20"/>
              </w:rPr>
            </w:pP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9E60CB" w:rsidRDefault="009E60CB" w:rsidP="00E90F24">
            <w:pPr>
              <w:rPr>
                <w:rFonts w:ascii="Arial" w:hAnsi="Arial" w:cs="Arial"/>
                <w:b/>
                <w:sz w:val="20"/>
                <w:szCs w:val="20"/>
              </w:rPr>
            </w:pPr>
          </w:p>
          <w:p w:rsidR="0062431C" w:rsidRPr="009E60CB" w:rsidRDefault="009E60CB"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There are two courses that h</w:t>
            </w:r>
            <w:r w:rsidR="00FA56A8">
              <w:rPr>
                <w:rFonts w:ascii="Arial" w:hAnsi="Arial" w:cs="Arial"/>
                <w:sz w:val="20"/>
                <w:szCs w:val="20"/>
              </w:rPr>
              <w:t>ave gone through review in 2009.</w:t>
            </w:r>
            <w:r>
              <w:rPr>
                <w:rFonts w:ascii="Arial" w:hAnsi="Arial" w:cs="Arial"/>
                <w:sz w:val="20"/>
                <w:szCs w:val="20"/>
              </w:rPr>
              <w:t xml:space="preserve"> </w:t>
            </w:r>
            <w:r w:rsidR="00FA56A8">
              <w:rPr>
                <w:rFonts w:ascii="Arial" w:hAnsi="Arial" w:cs="Arial"/>
                <w:sz w:val="20"/>
                <w:szCs w:val="20"/>
              </w:rPr>
              <w:t>T</w:t>
            </w:r>
            <w:r>
              <w:rPr>
                <w:rFonts w:ascii="Arial" w:hAnsi="Arial" w:cs="Arial"/>
                <w:sz w:val="20"/>
                <w:szCs w:val="20"/>
              </w:rPr>
              <w:t>he last review</w:t>
            </w:r>
            <w:r w:rsidR="00FA56A8">
              <w:rPr>
                <w:rFonts w:ascii="Arial" w:hAnsi="Arial" w:cs="Arial"/>
                <w:sz w:val="20"/>
                <w:szCs w:val="20"/>
              </w:rPr>
              <w:t xml:space="preserve"> for all other courses was</w:t>
            </w:r>
            <w:r>
              <w:rPr>
                <w:rFonts w:ascii="Arial" w:hAnsi="Arial" w:cs="Arial"/>
                <w:sz w:val="20"/>
                <w:szCs w:val="20"/>
              </w:rPr>
              <w:t xml:space="preserve"> in 2006</w:t>
            </w:r>
            <w:r w:rsidR="00FA56A8">
              <w:rPr>
                <w:rFonts w:ascii="Arial" w:hAnsi="Arial" w:cs="Arial"/>
                <w:sz w:val="20"/>
                <w:szCs w:val="20"/>
              </w:rPr>
              <w:t>.  T</w:t>
            </w:r>
            <w:r>
              <w:rPr>
                <w:rFonts w:ascii="Arial" w:hAnsi="Arial" w:cs="Arial"/>
                <w:sz w:val="20"/>
                <w:szCs w:val="20"/>
              </w:rPr>
              <w:t>he next reviews coming in 2012.</w:t>
            </w:r>
          </w:p>
          <w:p w:rsidR="0062431C" w:rsidRPr="00A17BB2"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D77686" w:rsidRDefault="00D77686"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 Welding department has identified and described major trends in the field, such as seeking funds for new equipment (Perkins) and improving the areas of destructive inspection. The major trend is to fill the demand for qualified, certified welders.</w:t>
            </w: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D77686" w:rsidRPr="00D77686" w:rsidRDefault="00D77686"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 Welding department does mention in the report substantial accomplishments and strengths in the planning process.</w:t>
            </w:r>
          </w:p>
          <w:p w:rsidR="00527349" w:rsidRDefault="00527349" w:rsidP="00E90F24">
            <w:pPr>
              <w:rPr>
                <w:rFonts w:ascii="Arial" w:hAnsi="Arial" w:cs="Arial"/>
                <w:b/>
                <w:sz w:val="20"/>
                <w:szCs w:val="20"/>
              </w:rPr>
            </w:pP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3B7ADB" w:rsidRDefault="003B7ADB" w:rsidP="00E90F24">
            <w:pPr>
              <w:rPr>
                <w:rFonts w:ascii="Arial" w:hAnsi="Arial" w:cs="Arial"/>
                <w:sz w:val="20"/>
                <w:szCs w:val="20"/>
              </w:rPr>
            </w:pPr>
            <w:r>
              <w:rPr>
                <w:rFonts w:ascii="Arial" w:hAnsi="Arial" w:cs="Arial"/>
                <w:b/>
                <w:sz w:val="20"/>
                <w:szCs w:val="20"/>
              </w:rPr>
              <w:t>Meets:</w:t>
            </w:r>
            <w:r>
              <w:rPr>
                <w:rFonts w:ascii="Arial" w:hAnsi="Arial" w:cs="Arial"/>
                <w:sz w:val="20"/>
                <w:szCs w:val="20"/>
              </w:rPr>
              <w:t xml:space="preserve">  The department does incorporate weaknesses and challenges into planning. </w:t>
            </w:r>
            <w:r w:rsidR="00FA56A8">
              <w:rPr>
                <w:rFonts w:ascii="Arial" w:hAnsi="Arial" w:cs="Arial"/>
                <w:sz w:val="20"/>
                <w:szCs w:val="20"/>
              </w:rPr>
              <w:t>There is the ongoing concern</w:t>
            </w:r>
            <w:r w:rsidR="000644C6">
              <w:rPr>
                <w:rFonts w:ascii="Arial" w:hAnsi="Arial" w:cs="Arial"/>
                <w:sz w:val="20"/>
                <w:szCs w:val="20"/>
              </w:rPr>
              <w:t xml:space="preserve"> of safety.</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964854" w:rsidP="00E90F24">
            <w:pPr>
              <w:rPr>
                <w:rFonts w:ascii="Arial" w:hAnsi="Arial" w:cs="Arial"/>
                <w:b/>
                <w:sz w:val="20"/>
                <w:szCs w:val="20"/>
              </w:rPr>
            </w:pPr>
            <w:r>
              <w:rPr>
                <w:rFonts w:ascii="Arial" w:hAnsi="Arial" w:cs="Arial"/>
                <w:b/>
                <w:sz w:val="20"/>
                <w:szCs w:val="20"/>
              </w:rPr>
              <w:t>Meets</w:t>
            </w:r>
            <w:r w:rsidR="00310C99">
              <w:rPr>
                <w:rFonts w:ascii="Arial" w:hAnsi="Arial" w:cs="Arial"/>
                <w:b/>
                <w:sz w:val="20"/>
                <w:szCs w:val="20"/>
              </w:rPr>
              <w:t>:</w:t>
            </w:r>
            <w:r w:rsidR="00310C99">
              <w:rPr>
                <w:rFonts w:ascii="Arial" w:hAnsi="Arial" w:cs="Arial"/>
                <w:sz w:val="20"/>
                <w:szCs w:val="20"/>
              </w:rPr>
              <w:t xml:space="preserve">  The</w:t>
            </w:r>
            <w:r>
              <w:rPr>
                <w:rFonts w:ascii="Arial" w:hAnsi="Arial" w:cs="Arial"/>
                <w:sz w:val="20"/>
                <w:szCs w:val="20"/>
              </w:rPr>
              <w:t xml:space="preserve"> Welding department continues to add new equipment to the program and has a new partnership with the Pomona Education School.</w:t>
            </w:r>
          </w:p>
          <w:p w:rsidR="0062431C" w:rsidRPr="00A35BD7" w:rsidRDefault="0062431C" w:rsidP="00E90F24">
            <w:pPr>
              <w:rPr>
                <w:rFonts w:ascii="Arial" w:hAnsi="Arial" w:cs="Arial"/>
                <w:sz w:val="20"/>
                <w:szCs w:val="20"/>
              </w:rPr>
            </w:pPr>
          </w:p>
        </w:tc>
      </w:tr>
    </w:tbl>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40" w:rsidRDefault="00A00A40">
      <w:r>
        <w:separator/>
      </w:r>
    </w:p>
  </w:endnote>
  <w:endnote w:type="continuationSeparator" w:id="0">
    <w:p w:rsidR="00A00A40" w:rsidRDefault="00A00A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40" w:rsidRDefault="00A00A40">
      <w:r>
        <w:separator/>
      </w:r>
    </w:p>
  </w:footnote>
  <w:footnote w:type="continuationSeparator" w:id="0">
    <w:p w:rsidR="00A00A40" w:rsidRDefault="00A0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9648A8" w:rsidRPr="003E5B91">
      <w:rPr>
        <w:b/>
      </w:rPr>
      <w:fldChar w:fldCharType="begin"/>
    </w:r>
    <w:r w:rsidRPr="003E5B91">
      <w:rPr>
        <w:b/>
      </w:rPr>
      <w:instrText xml:space="preserve"> PAGE </w:instrText>
    </w:r>
    <w:r w:rsidR="009648A8" w:rsidRPr="003E5B91">
      <w:rPr>
        <w:b/>
      </w:rPr>
      <w:fldChar w:fldCharType="separate"/>
    </w:r>
    <w:r w:rsidR="00356AE4">
      <w:rPr>
        <w:b/>
        <w:noProof/>
      </w:rPr>
      <w:t>1</w:t>
    </w:r>
    <w:r w:rsidR="009648A8" w:rsidRPr="003E5B91">
      <w:rPr>
        <w:b/>
      </w:rPr>
      <w:fldChar w:fldCharType="end"/>
    </w:r>
    <w:r w:rsidRPr="003E5B91">
      <w:rPr>
        <w:b/>
      </w:rPr>
      <w:t xml:space="preserve"> of </w:t>
    </w:r>
    <w:r w:rsidR="009648A8" w:rsidRPr="003E5B91">
      <w:rPr>
        <w:b/>
      </w:rPr>
      <w:fldChar w:fldCharType="begin"/>
    </w:r>
    <w:r w:rsidRPr="003E5B91">
      <w:rPr>
        <w:b/>
      </w:rPr>
      <w:instrText xml:space="preserve"> NUMPAGES </w:instrText>
    </w:r>
    <w:r w:rsidR="009648A8" w:rsidRPr="003E5B91">
      <w:rPr>
        <w:b/>
      </w:rPr>
      <w:fldChar w:fldCharType="separate"/>
    </w:r>
    <w:r w:rsidR="00356AE4">
      <w:rPr>
        <w:b/>
        <w:noProof/>
      </w:rPr>
      <w:t>4</w:t>
    </w:r>
    <w:r w:rsidR="009648A8"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2196D"/>
    <w:rsid w:val="000644C6"/>
    <w:rsid w:val="000701BC"/>
    <w:rsid w:val="00081AD0"/>
    <w:rsid w:val="0009399F"/>
    <w:rsid w:val="000D06FC"/>
    <w:rsid w:val="000E41A0"/>
    <w:rsid w:val="000F1A8C"/>
    <w:rsid w:val="00114F1A"/>
    <w:rsid w:val="0012132D"/>
    <w:rsid w:val="0015758F"/>
    <w:rsid w:val="00160EBD"/>
    <w:rsid w:val="001A1F33"/>
    <w:rsid w:val="001A5ACA"/>
    <w:rsid w:val="001C1B2B"/>
    <w:rsid w:val="001C66C9"/>
    <w:rsid w:val="001F01F2"/>
    <w:rsid w:val="0025743C"/>
    <w:rsid w:val="002850CA"/>
    <w:rsid w:val="002B199F"/>
    <w:rsid w:val="002C37ED"/>
    <w:rsid w:val="002E3B89"/>
    <w:rsid w:val="002E595C"/>
    <w:rsid w:val="002F3911"/>
    <w:rsid w:val="00310C99"/>
    <w:rsid w:val="00320333"/>
    <w:rsid w:val="003302F0"/>
    <w:rsid w:val="00343A0D"/>
    <w:rsid w:val="00356AE4"/>
    <w:rsid w:val="003B7ADB"/>
    <w:rsid w:val="003D018D"/>
    <w:rsid w:val="003D32A4"/>
    <w:rsid w:val="003E22FB"/>
    <w:rsid w:val="003E5B91"/>
    <w:rsid w:val="003E6CC9"/>
    <w:rsid w:val="003F2782"/>
    <w:rsid w:val="003F2DDC"/>
    <w:rsid w:val="003F4318"/>
    <w:rsid w:val="003F5BDF"/>
    <w:rsid w:val="00421EC7"/>
    <w:rsid w:val="00437CEF"/>
    <w:rsid w:val="00475686"/>
    <w:rsid w:val="004940F4"/>
    <w:rsid w:val="004A5034"/>
    <w:rsid w:val="004B0390"/>
    <w:rsid w:val="004D0A9A"/>
    <w:rsid w:val="004E6EFC"/>
    <w:rsid w:val="004F22A7"/>
    <w:rsid w:val="00510CE8"/>
    <w:rsid w:val="00521083"/>
    <w:rsid w:val="00527349"/>
    <w:rsid w:val="005463D7"/>
    <w:rsid w:val="00556626"/>
    <w:rsid w:val="005666D0"/>
    <w:rsid w:val="005746D8"/>
    <w:rsid w:val="0059080C"/>
    <w:rsid w:val="005B2D07"/>
    <w:rsid w:val="005B661B"/>
    <w:rsid w:val="005D7423"/>
    <w:rsid w:val="005E771F"/>
    <w:rsid w:val="00612804"/>
    <w:rsid w:val="00617CD6"/>
    <w:rsid w:val="0062431C"/>
    <w:rsid w:val="0062539F"/>
    <w:rsid w:val="00626B8B"/>
    <w:rsid w:val="006276DE"/>
    <w:rsid w:val="00643B53"/>
    <w:rsid w:val="00690ED4"/>
    <w:rsid w:val="006B5A53"/>
    <w:rsid w:val="006D696A"/>
    <w:rsid w:val="006E1FA6"/>
    <w:rsid w:val="00700C4C"/>
    <w:rsid w:val="00735FFE"/>
    <w:rsid w:val="007439A5"/>
    <w:rsid w:val="00754586"/>
    <w:rsid w:val="007570F1"/>
    <w:rsid w:val="008029A3"/>
    <w:rsid w:val="00804E08"/>
    <w:rsid w:val="00815D34"/>
    <w:rsid w:val="0081674D"/>
    <w:rsid w:val="00826949"/>
    <w:rsid w:val="00834321"/>
    <w:rsid w:val="0083793F"/>
    <w:rsid w:val="00851004"/>
    <w:rsid w:val="0086090A"/>
    <w:rsid w:val="008761D6"/>
    <w:rsid w:val="00876909"/>
    <w:rsid w:val="00896F47"/>
    <w:rsid w:val="008B08DF"/>
    <w:rsid w:val="008E6565"/>
    <w:rsid w:val="008F763B"/>
    <w:rsid w:val="009029C2"/>
    <w:rsid w:val="00906F9F"/>
    <w:rsid w:val="00924890"/>
    <w:rsid w:val="009258A8"/>
    <w:rsid w:val="00933750"/>
    <w:rsid w:val="0094553F"/>
    <w:rsid w:val="0096072F"/>
    <w:rsid w:val="00964854"/>
    <w:rsid w:val="009648A8"/>
    <w:rsid w:val="009E60CB"/>
    <w:rsid w:val="00A00A40"/>
    <w:rsid w:val="00A017DD"/>
    <w:rsid w:val="00A263AB"/>
    <w:rsid w:val="00A338C3"/>
    <w:rsid w:val="00A41D92"/>
    <w:rsid w:val="00A61645"/>
    <w:rsid w:val="00A87CB4"/>
    <w:rsid w:val="00A913A3"/>
    <w:rsid w:val="00A91CCD"/>
    <w:rsid w:val="00AA33D3"/>
    <w:rsid w:val="00AA464B"/>
    <w:rsid w:val="00AF7D1C"/>
    <w:rsid w:val="00B0398B"/>
    <w:rsid w:val="00B119FC"/>
    <w:rsid w:val="00B33E33"/>
    <w:rsid w:val="00B50385"/>
    <w:rsid w:val="00B81D82"/>
    <w:rsid w:val="00B93DAF"/>
    <w:rsid w:val="00BA19C8"/>
    <w:rsid w:val="00BC1AFC"/>
    <w:rsid w:val="00BC7C7B"/>
    <w:rsid w:val="00C157EB"/>
    <w:rsid w:val="00C23F43"/>
    <w:rsid w:val="00C51ED7"/>
    <w:rsid w:val="00C6007D"/>
    <w:rsid w:val="00C613EC"/>
    <w:rsid w:val="00C76D9D"/>
    <w:rsid w:val="00CA17F3"/>
    <w:rsid w:val="00CA51F6"/>
    <w:rsid w:val="00CB3BEF"/>
    <w:rsid w:val="00CD47C5"/>
    <w:rsid w:val="00CE2DF9"/>
    <w:rsid w:val="00CF7656"/>
    <w:rsid w:val="00D037B6"/>
    <w:rsid w:val="00D113F7"/>
    <w:rsid w:val="00D235EA"/>
    <w:rsid w:val="00D264C5"/>
    <w:rsid w:val="00D46663"/>
    <w:rsid w:val="00D6121E"/>
    <w:rsid w:val="00D65C39"/>
    <w:rsid w:val="00D758BE"/>
    <w:rsid w:val="00D77686"/>
    <w:rsid w:val="00D81129"/>
    <w:rsid w:val="00D94679"/>
    <w:rsid w:val="00D96F9B"/>
    <w:rsid w:val="00DC2160"/>
    <w:rsid w:val="00DF1609"/>
    <w:rsid w:val="00DF5D08"/>
    <w:rsid w:val="00DF7EF2"/>
    <w:rsid w:val="00E0610D"/>
    <w:rsid w:val="00E7063D"/>
    <w:rsid w:val="00E77A9D"/>
    <w:rsid w:val="00E86E7D"/>
    <w:rsid w:val="00E90F24"/>
    <w:rsid w:val="00E93778"/>
    <w:rsid w:val="00E93F31"/>
    <w:rsid w:val="00EA37C8"/>
    <w:rsid w:val="00EE1ECD"/>
    <w:rsid w:val="00F06152"/>
    <w:rsid w:val="00F13D57"/>
    <w:rsid w:val="00F65EB0"/>
    <w:rsid w:val="00F77F04"/>
    <w:rsid w:val="00FA56A8"/>
    <w:rsid w:val="00FB5F44"/>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creator>rmarla</dc:creator>
  <cp:lastModifiedBy>RefDesk</cp:lastModifiedBy>
  <cp:revision>3</cp:revision>
  <cp:lastPrinted>2011-04-28T15:58:00Z</cp:lastPrinted>
  <dcterms:created xsi:type="dcterms:W3CDTF">2011-04-28T20:59:00Z</dcterms:created>
  <dcterms:modified xsi:type="dcterms:W3CDTF">2011-05-05T17:46:00Z</dcterms:modified>
</cp:coreProperties>
</file>